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rPr>
          <w:rFonts w:hint="default" w:ascii="仿宋_GB2312" w:eastAsia="仿宋_GB2312" w:cs="仿宋_GB2312"/>
          <w:kern w:val="2"/>
          <w:sz w:val="32"/>
          <w:szCs w:val="32"/>
        </w:rPr>
      </w:pPr>
      <w:r>
        <w:rPr>
          <w:rFonts w:hint="default" w:ascii="仿宋_GB2312" w:eastAsia="仿宋_GB2312" w:cs="仿宋_GB2312"/>
          <w:kern w:val="2"/>
          <w:sz w:val="32"/>
          <w:szCs w:val="32"/>
        </w:rPr>
        <w:tab/>
      </w:r>
    </w:p>
    <w:p>
      <w:pP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rPr>
          <w:rFonts w:hint="default" w:ascii="Calibri" w:hAnsi="Calibri" w:cs="Calibri"/>
          <w:kern w:val="2"/>
          <w:sz w:val="21"/>
          <w:szCs w:val="21"/>
        </w:rPr>
      </w:pPr>
      <w:r>
        <w:rPr>
          <w:rFonts w:hint="default" w:ascii="Calibri" w:hAnsi="Calibri" w:cs="Calibri"/>
          <w:kern w:val="2"/>
          <w:sz w:val="21"/>
          <w:szCs w:val="21"/>
        </w:rPr>
        <w:t xml:space="preserve"> </w:t>
      </w:r>
    </w:p>
    <w:p>
      <w:pPr>
        <w:jc w:val="center"/>
        <w:rPr>
          <w:rFonts w:hint="default" w:ascii="Calibri" w:hAnsi="Calibri" w:cs="Calibri"/>
          <w:kern w:val="2"/>
          <w:sz w:val="21"/>
          <w:szCs w:val="21"/>
        </w:rPr>
      </w:pPr>
      <w:r>
        <w:drawing>
          <wp:inline distT="0" distB="0" distL="114300" distR="114300">
            <wp:extent cx="5114925" cy="6667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link="rId4"/>
                    <a:stretch>
                      <a:fillRect/>
                    </a:stretch>
                  </pic:blipFill>
                  <pic:spPr>
                    <a:xfrm>
                      <a:off x="0" y="0"/>
                      <a:ext cx="5114925" cy="666750"/>
                    </a:xfrm>
                    <a:prstGeom prst="rect">
                      <a:avLst/>
                    </a:prstGeom>
                    <a:noFill/>
                    <a:ln w="9525">
                      <a:noFill/>
                    </a:ln>
                  </pic:spPr>
                </pic:pic>
              </a:graphicData>
            </a:graphic>
          </wp:inline>
        </w:drawing>
      </w:r>
      <w:r>
        <w:rPr>
          <w:rFonts w:hint="default" w:ascii="Calibri" w:hAnsi="Calibri" w:cs="Calibri"/>
          <w:kern w:val="2"/>
          <w:sz w:val="21"/>
          <w:szCs w:val="21"/>
        </w:rPr>
        <w:t xml:space="preserve"> </w:t>
      </w:r>
    </w:p>
    <w:p>
      <w:pPr>
        <w:spacing w:line="560" w:lineRule="exact"/>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spacing w:line="500" w:lineRule="exact"/>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jc w:val="center"/>
        <w:rPr>
          <w:rFonts w:hint="default" w:ascii="仿宋_GB2312" w:eastAsia="仿宋_GB2312" w:cs="仿宋_GB2312"/>
          <w:kern w:val="2"/>
          <w:sz w:val="32"/>
          <w:szCs w:val="32"/>
        </w:rPr>
      </w:pPr>
      <w:bookmarkStart w:id="0" w:name="doc_mark"/>
      <w:bookmarkEnd w:id="0"/>
      <w:r>
        <w:rPr>
          <w:rFonts w:hint="default" w:ascii="仿宋_GB2312" w:eastAsia="仿宋_GB2312" w:cs="仿宋_GB2312"/>
          <w:kern w:val="2"/>
          <w:sz w:val="32"/>
          <w:szCs w:val="32"/>
        </w:rPr>
        <w:t>川电大校考〔2017〕18号</w:t>
      </w:r>
    </w:p>
    <w:p>
      <w:pPr>
        <w:rPr>
          <w:rFonts w:hint="default" w:ascii="仿宋_GB2312" w:eastAsia="仿宋_GB2312" w:cs="仿宋_GB2312"/>
          <w:kern w:val="2"/>
          <w:sz w:val="32"/>
          <w:szCs w:val="32"/>
        </w:rPr>
      </w:pPr>
      <w:r>
        <w:drawing>
          <wp:inline distT="0" distB="0" distL="114300" distR="114300">
            <wp:extent cx="5838825" cy="381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link="rId5"/>
                    <a:stretch>
                      <a:fillRect/>
                    </a:stretch>
                  </pic:blipFill>
                  <pic:spPr>
                    <a:xfrm>
                      <a:off x="0" y="0"/>
                      <a:ext cx="5838825" cy="38100"/>
                    </a:xfrm>
                    <a:prstGeom prst="rect">
                      <a:avLst/>
                    </a:prstGeom>
                    <a:noFill/>
                    <a:ln w="9525">
                      <a:noFill/>
                    </a:ln>
                  </pic:spPr>
                </pic:pic>
              </a:graphicData>
            </a:graphic>
          </wp:inline>
        </w:drawing>
      </w:r>
      <w:r>
        <w:rPr>
          <w:rFonts w:hint="default" w:ascii="仿宋_GB2312" w:eastAsia="仿宋_GB2312" w:cs="仿宋_GB2312"/>
          <w:kern w:val="2"/>
          <w:sz w:val="32"/>
          <w:szCs w:val="32"/>
        </w:rPr>
        <w:t xml:space="preserve"> </w:t>
      </w:r>
    </w:p>
    <w:p>
      <w:pPr>
        <w:spacing w:line="560" w:lineRule="exact"/>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spacing w:line="840" w:lineRule="exact"/>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四川广播电视大学关于</w:t>
      </w:r>
      <w:r>
        <w:rPr>
          <w:rFonts w:hint="default" w:ascii="方正小标宋简体" w:hAnsi="宋体" w:eastAsia="方正小标宋简体" w:cs="方正小标宋简体"/>
          <w:kern w:val="2"/>
          <w:sz w:val="44"/>
          <w:szCs w:val="44"/>
        </w:rPr>
        <w:t>2017年秋季学期</w:t>
      </w:r>
    </w:p>
    <w:p>
      <w:pPr>
        <w:spacing w:line="840" w:lineRule="exact"/>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开放教育期末考试安排的通知</w:t>
      </w:r>
    </w:p>
    <w:p>
      <w:pPr>
        <w:jc w:val="right"/>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 xml:space="preserve"> </w:t>
      </w:r>
    </w:p>
    <w:p>
      <w:pPr>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各市、州、系统电大（分校），直属学院：</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根据国家开放大学国开考（2017）9号“关于2017年秋季学期期末考试安排的通知”精神，同时结合我省的情况，2017年秋季学期国家开放大学开放教育本、专科纸质考核科目期末考试定于2018年1月13日至15日进行（省开课程网上形成性考核学生完成作业截止时间为2018年1月12日，老师评阅截止时间为2018年1月17日；国开必修课程，省开课程基于网络随学随考考核时间为2017年11月27日至2018年1月14日，国开必修课程基于网络正式计划考核时间为2017年12月11日至2018年1月14日）。现将本次考试的安排印发给你们，请遵照执行。</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一、国家开放大学开放教育设考科目详见附件1、附件2。考试时间安排详见附件3、附件4。</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本次纸质考试省开课程每堂考试时间长度为60分钟，课程的考核方式为开卷；必修课程每堂考试时间长度为90分钟（部分专业课程例外），请详见附件。必修课程的考核方式为开卷、半开卷、闭卷。半开卷考试按川电大校教发（2007）22号“关于印发《中央广播电视大学关于开放教育进行半开卷考试试点的若干意见》的通知”执行。启用新教材的课程只提供新版教材课程考试试卷，凡省校未统一提供教材的科目不提供考试服务。</w:t>
      </w:r>
    </w:p>
    <w:p>
      <w:pPr>
        <w:ind w:left="0" w:firstLine="643" w:firstLineChars="200"/>
        <w:rPr>
          <w:rFonts w:hint="default" w:ascii="仿宋_GB2312" w:hAnsi="宋体" w:eastAsia="仿宋_GB2312" w:cs="仿宋_GB2312"/>
          <w:kern w:val="2"/>
          <w:sz w:val="32"/>
          <w:szCs w:val="32"/>
        </w:rPr>
      </w:pPr>
      <w:r>
        <w:rPr>
          <w:rFonts w:hint="eastAsia" w:ascii="黑体" w:hAnsi="宋体" w:eastAsia="黑体" w:cs="黑体"/>
          <w:b/>
          <w:kern w:val="2"/>
          <w:sz w:val="32"/>
          <w:szCs w:val="32"/>
        </w:rPr>
        <w:t>二、各校的考点必须设在经国家开放大学批准的地点</w:t>
      </w:r>
      <w:r>
        <w:rPr>
          <w:rFonts w:hint="default" w:ascii="仿宋_GB2312" w:hAnsi="宋体" w:eastAsia="仿宋_GB2312" w:cs="仿宋_GB2312"/>
          <w:kern w:val="2"/>
          <w:sz w:val="32"/>
          <w:szCs w:val="32"/>
        </w:rPr>
        <w:t>。考点的申报、更改以及考试组织管理按川电大校教发（2009）24号“关于转发国开大“关于印发《广播电视大学全国统一考试考点设置和管理办法（修订）》的通知”执行。考点设置严格按照国开大所公示的考点设置。</w:t>
      </w:r>
    </w:p>
    <w:p>
      <w:pPr>
        <w:ind w:left="0" w:firstLine="643" w:firstLineChars="200"/>
        <w:rPr>
          <w:rFonts w:hint="default" w:ascii="仿宋_GB2312" w:hAnsi="宋体" w:eastAsia="仿宋_GB2312" w:cs="仿宋_GB2312"/>
          <w:kern w:val="2"/>
          <w:sz w:val="32"/>
          <w:szCs w:val="32"/>
        </w:rPr>
      </w:pPr>
      <w:r>
        <w:rPr>
          <w:rFonts w:hint="eastAsia" w:ascii="黑体" w:hAnsi="宋体" w:eastAsia="黑体" w:cs="黑体"/>
          <w:b/>
          <w:kern w:val="2"/>
          <w:sz w:val="32"/>
          <w:szCs w:val="32"/>
        </w:rPr>
        <w:t>三、凡参加本文件设考科目考试的学生必须按所在电大（分校）规定的时间报名，各校将其报考科目录入报考系统，省校根据报考数据统一订卷。</w:t>
      </w:r>
      <w:r>
        <w:rPr>
          <w:rFonts w:hint="default" w:ascii="仿宋_GB2312" w:hAnsi="宋体" w:eastAsia="仿宋_GB2312" w:cs="仿宋_GB2312"/>
          <w:kern w:val="2"/>
          <w:sz w:val="32"/>
          <w:szCs w:val="32"/>
        </w:rPr>
        <w:t>凡未按时上报学生报考数据的不予征订试卷，不接受追加报考。国开大开放教育学生只能报考本文件发布的相应学历层次的考试科目，否则成绩无效。</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四、有关考试的几点说明</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（一）开放教育课程几种考核形式的说明：</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w:t>
      </w:r>
      <w:r>
        <w:rPr>
          <w:rFonts w:hint="default" w:ascii="仿宋_GB2312" w:eastAsia="仿宋_GB2312" w:cs="仿宋_GB2312"/>
          <w:kern w:val="2"/>
          <w:sz w:val="32"/>
          <w:szCs w:val="32"/>
        </w:rPr>
        <w:t>附件1、2备注中标注★的课程考试（论文、大作业等）试题统一由省校通过</w:t>
      </w:r>
      <w:r>
        <w:rPr>
          <w:rFonts w:hint="default" w:ascii="仿宋_GB2312" w:hAnsi="宋体" w:eastAsia="仿宋_GB2312" w:cs="仿宋_GB2312"/>
          <w:kern w:val="2"/>
          <w:sz w:val="32"/>
          <w:szCs w:val="32"/>
        </w:rPr>
        <w:t>四川电大BBS站（http://bbs.jwc.scrtvu. net/tvubbs/）</w:t>
      </w:r>
      <w:r>
        <w:rPr>
          <w:rFonts w:hint="default" w:ascii="仿宋_GB2312" w:eastAsia="仿宋_GB2312" w:cs="仿宋_GB2312"/>
          <w:kern w:val="2"/>
          <w:sz w:val="32"/>
          <w:szCs w:val="32"/>
        </w:rPr>
        <w:t>发布，试题发布时间为相应课程考试的起始时间；未标注★的论文、大作业课程由各教学点按照课程考核说明相关要求自行安排。该类课程都由分校统一评阅并上报成绩。</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附件1、2备注的考试形式说明。</w:t>
      </w:r>
    </w:p>
    <w:tbl>
      <w:tblPr>
        <w:tblStyle w:val="18"/>
        <w:tblW w:w="92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448"/>
        <w:gridCol w:w="4196"/>
        <w:gridCol w:w="2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jc w:val="center"/>
              <w:rPr>
                <w:rFonts w:hint="default" w:ascii="仿宋_GB2312" w:eastAsia="仿宋_GB2312" w:cs="仿宋_GB2312"/>
                <w:b/>
                <w:kern w:val="2"/>
                <w:sz w:val="32"/>
                <w:szCs w:val="32"/>
                <w:bdr w:val="none" w:color="auto" w:sz="0" w:space="0"/>
              </w:rPr>
            </w:pPr>
            <w:r>
              <w:rPr>
                <w:rFonts w:hint="default" w:ascii="仿宋_GB2312" w:eastAsia="仿宋_GB2312" w:cs="仿宋_GB2312"/>
                <w:b/>
                <w:kern w:val="2"/>
                <w:sz w:val="32"/>
                <w:szCs w:val="32"/>
                <w:bdr w:val="none" w:color="auto" w:sz="0" w:space="0"/>
              </w:rPr>
              <w:t>备注形式</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jc w:val="center"/>
              <w:rPr>
                <w:rFonts w:hint="default" w:ascii="仿宋_GB2312" w:eastAsia="仿宋_GB2312" w:cs="仿宋_GB2312"/>
                <w:b/>
                <w:kern w:val="2"/>
                <w:sz w:val="32"/>
                <w:szCs w:val="32"/>
                <w:bdr w:val="none" w:color="auto" w:sz="0" w:space="0"/>
              </w:rPr>
            </w:pPr>
            <w:r>
              <w:rPr>
                <w:rFonts w:hint="default" w:ascii="仿宋_GB2312" w:eastAsia="仿宋_GB2312" w:cs="仿宋_GB2312"/>
                <w:b/>
                <w:kern w:val="2"/>
                <w:sz w:val="32"/>
                <w:szCs w:val="32"/>
                <w:bdr w:val="none" w:color="auto" w:sz="0" w:space="0"/>
              </w:rPr>
              <w:t>形成性考核</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jc w:val="center"/>
              <w:rPr>
                <w:rFonts w:hint="default" w:ascii="仿宋_GB2312" w:eastAsia="仿宋_GB2312" w:cs="仿宋_GB2312"/>
                <w:b/>
                <w:kern w:val="2"/>
                <w:sz w:val="32"/>
                <w:szCs w:val="32"/>
                <w:bdr w:val="none" w:color="auto" w:sz="0" w:space="0"/>
              </w:rPr>
            </w:pPr>
            <w:r>
              <w:rPr>
                <w:rFonts w:hint="default" w:ascii="仿宋_GB2312" w:eastAsia="仿宋_GB2312" w:cs="仿宋_GB2312"/>
                <w:b/>
                <w:kern w:val="2"/>
                <w:sz w:val="32"/>
                <w:szCs w:val="32"/>
                <w:bdr w:val="none" w:color="auto" w:sz="0" w:space="0"/>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100%纸质形考</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形成性考核册或在国家开放大学学习网课程端下载打印后完成</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网形网终</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国家开放大学终结性考试系统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100%国开形考</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网形纸终</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期末纸质考试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纸形网终</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形成性考核册</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国家开放大学终结性考试系统完成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机考</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形成性考核册</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计算机登陆指定平台完成的考核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100%四川形考</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四川形成性测评系统</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新为终考</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形成性考核册</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新为系统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网学川形</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国家开放大学学习网的学习行为和四川形成性测评系统</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网学新终</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国家开放大学学习网的学习行为</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新为系统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网学纸终</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国家开放大学学习网的学习行为</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期末纸质考试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网学网核</w:t>
            </w:r>
          </w:p>
        </w:tc>
        <w:tc>
          <w:tcPr>
            <w:tcW w:w="4196"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国家开放大学学习网的学习行为和作业</w:t>
            </w:r>
          </w:p>
        </w:tc>
        <w:tc>
          <w:tcPr>
            <w:tcW w:w="2582" w:type="dxa"/>
            <w:tcBorders>
              <w:top w:val="single" w:color="auto" w:sz="4" w:space="0"/>
              <w:left w:val="nil"/>
              <w:bottom w:val="single" w:color="auto" w:sz="4" w:space="0"/>
              <w:right w:val="single" w:color="auto" w:sz="4" w:space="0"/>
            </w:tcBorders>
            <w:shd w:val="clear"/>
            <w:vAlign w:val="center"/>
          </w:tcPr>
          <w:p>
            <w:pPr>
              <w:spacing w:line="480" w:lineRule="exact"/>
              <w:rPr>
                <w:rFonts w:hint="default" w:ascii="仿宋_GB2312" w:eastAsia="仿宋_GB2312" w:cs="仿宋_GB2312"/>
                <w:kern w:val="2"/>
                <w:sz w:val="28"/>
                <w:szCs w:val="28"/>
                <w:bdr w:val="none" w:color="auto" w:sz="0" w:space="0"/>
              </w:rPr>
            </w:pPr>
            <w:r>
              <w:rPr>
                <w:rFonts w:hint="default" w:ascii="仿宋_GB2312" w:eastAsia="仿宋_GB2312" w:cs="仿宋_GB2312"/>
                <w:kern w:val="2"/>
                <w:sz w:val="28"/>
                <w:szCs w:val="28"/>
                <w:bdr w:val="none" w:color="auto" w:sz="0" w:space="0"/>
              </w:rPr>
              <w:t>无</w:t>
            </w:r>
          </w:p>
        </w:tc>
      </w:tr>
    </w:tbl>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（二）各校自行组织考试的课程</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1．教务管理系统的学生考试课程中标明的“自行组织考试”“分校评阅”的科目的成绩，由分校或者教学点直接从教务管理系统录入。具体操作：成绩-》卷面成绩-》按学生录入主观成绩。</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2．附件1、2备注标注</w:t>
      </w:r>
      <w:r>
        <w:rPr>
          <w:rFonts w:hint="default" w:ascii="仿宋_GB2312" w:hAnsi="Times New Roman" w:eastAsia="仿宋_GB2312" w:cs="仿宋_GB2312"/>
          <w:color w:val="000000"/>
          <w:kern w:val="2"/>
          <w:sz w:val="32"/>
          <w:szCs w:val="32"/>
        </w:rPr>
        <w:t>考试形式为提交课程大作业</w:t>
      </w:r>
      <w:r>
        <w:rPr>
          <w:rFonts w:hint="default" w:ascii="仿宋_GB2312" w:eastAsia="仿宋_GB2312" w:cs="仿宋_GB2312"/>
          <w:color w:val="000000"/>
          <w:kern w:val="2"/>
          <w:sz w:val="32"/>
          <w:szCs w:val="32"/>
        </w:rPr>
        <w:t>、课程论文、调查报告及自行组织考核的科目，由各分校按照国开及四川电大的课程考核说明统一布置给所辖教学点，</w:t>
      </w:r>
      <w:r>
        <w:rPr>
          <w:rFonts w:hint="default" w:ascii="仿宋_GB2312" w:hAnsi="宋体" w:eastAsia="仿宋_GB2312" w:cs="仿宋_GB2312"/>
          <w:kern w:val="2"/>
          <w:sz w:val="32"/>
          <w:szCs w:val="32"/>
        </w:rPr>
        <w:t>每份作业（论文、调查报告）第一页的左上角应注明学号、姓名和考生签到表上的座位号，于2018年1月15日前交所在电大（分校），进行统一评阅，并录入成绩。大作业、论文、报告按试卷回收方式回收后存地级电大。</w:t>
      </w:r>
    </w:p>
    <w:p>
      <w:pPr>
        <w:spacing w:line="600" w:lineRule="exact"/>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（三）基于网络考试的课程</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1．省开课程基于网络考试的说明</w:t>
      </w:r>
    </w:p>
    <w:p>
      <w:pPr>
        <w:pStyle w:val="8"/>
        <w:spacing w:before="0" w:beforeAutospacing="1" w:after="0" w:afterAutospacing="0" w:line="600" w:lineRule="exact"/>
        <w:ind w:left="0" w:righ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（1）部分省开课程学习网学习行为纳入形考成绩说明</w:t>
      </w:r>
    </w:p>
    <w:p>
      <w:pPr>
        <w:pStyle w:val="8"/>
        <w:spacing w:before="0" w:beforeAutospacing="1" w:after="0" w:afterAutospacing="0" w:line="600" w:lineRule="exact"/>
        <w:ind w:left="0" w:righ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本期继续对部分省开课程进行考试改革试点，将学生在“国家开放大学学习网”上的学习行为（浏览资源、参加教学活动等）计为课程的形成性考核成绩，占课程总成绩的20%。</w:t>
      </w:r>
    </w:p>
    <w:p>
      <w:pPr>
        <w:pStyle w:val="8"/>
        <w:spacing w:before="0" w:beforeAutospacing="1" w:after="0" w:afterAutospacing="0" w:line="600" w:lineRule="exact"/>
        <w:ind w:left="0" w:righ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（2）省开课程网上形考和省开课程基于网络终考均通过登录“四川广播电视大学网络考试平台” （http://kaoshi. sczsxx.</w:t>
      </w:r>
    </w:p>
    <w:p>
      <w:pPr>
        <w:pStyle w:val="8"/>
        <w:spacing w:before="0" w:beforeAutospacing="1" w:after="0" w:afterAutospacing="0" w:line="600" w:lineRule="exact"/>
        <w:ind w:left="0" w:right="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org/）上的四川电大形考系统、新为考试系统完成。</w:t>
      </w:r>
    </w:p>
    <w:p>
      <w:pPr>
        <w:pStyle w:val="8"/>
        <w:spacing w:before="0" w:beforeAutospacing="1" w:after="0" w:afterAutospacing="0" w:line="600" w:lineRule="exact"/>
        <w:ind w:left="0" w:righ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（3）省开网络核心课程考试科目，考核通过“国家开放大学学习网”完成。</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以上课程安排的具体事宜详见川电大校学考（2017）12号《关于2017年秋季学期省开课程基于网络考核有关事宜的通知》。</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2．必修课程基于网络随学随考说明</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（1）本学期基于网络终结性考试继续提供随学随考，考试通过国家开放大学(中央广播电视大学)终结性考试系统（kaowu.</w:t>
      </w:r>
    </w:p>
    <w:p>
      <w:pPr>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openedu.com.cn）进行，随学随考的考试时间为2017年11月27日至2018年1月14日。</w:t>
      </w:r>
    </w:p>
    <w:p>
      <w:pPr>
        <w:ind w:left="0" w:firstLine="640" w:firstLineChars="200"/>
        <w:rPr>
          <w:rFonts w:hint="default" w:ascii="仿宋_GB2312" w:eastAsia="仿宋_GB2312" w:cs="仿宋_GB2312"/>
          <w:kern w:val="2"/>
          <w:sz w:val="32"/>
          <w:szCs w:val="32"/>
        </w:rPr>
      </w:pPr>
      <w:r>
        <w:rPr>
          <w:rFonts w:hint="default" w:ascii="仿宋_GB2312" w:hAnsi="宋体" w:eastAsia="仿宋_GB2312" w:cs="仿宋_GB2312"/>
          <w:kern w:val="2"/>
          <w:sz w:val="32"/>
          <w:szCs w:val="32"/>
        </w:rPr>
        <w:t>（2）</w:t>
      </w:r>
      <w:r>
        <w:rPr>
          <w:rFonts w:hint="default" w:ascii="仿宋_GB2312" w:eastAsia="仿宋_GB2312" w:cs="仿宋_GB2312"/>
          <w:kern w:val="2"/>
          <w:sz w:val="32"/>
          <w:szCs w:val="32"/>
        </w:rPr>
        <w:t>部分课程不能提供随学随考，科目将不会在随学随考计划包中出现，2017年12月1日随所有网考课程统一发布期末考试数据包。考试时间为2017年12月11日至2018年1月14日</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必修课程基于网络形成性考核通过国家开放大学学习网进行。各门课程形成性考核任务及时间安排详见学习网课程端。每门课程形成性考核任务的起止时间由国开大控制，截止时间统一为2018年1月12日，老师评阅截止时间为2018年1月17日。</w:t>
      </w:r>
    </w:p>
    <w:p>
      <w:pPr>
        <w:ind w:left="0" w:firstLine="640" w:firstLineChars="200"/>
        <w:rPr>
          <w:rFonts w:hint="default" w:ascii="仿宋_GB2312" w:hAnsi="宋体" w:eastAsia="仿宋_GB2312" w:cs="仿宋_GB2312"/>
          <w:color w:val="000000"/>
          <w:kern w:val="2"/>
          <w:sz w:val="32"/>
          <w:szCs w:val="32"/>
        </w:rPr>
      </w:pPr>
      <w:r>
        <w:rPr>
          <w:rFonts w:hint="default" w:ascii="仿宋_GB2312" w:eastAsia="仿宋_GB2312" w:cs="仿宋_GB2312"/>
          <w:kern w:val="2"/>
          <w:sz w:val="32"/>
          <w:szCs w:val="32"/>
        </w:rPr>
        <w:t>以上课程安排的具体事宜详见川电大校学考（2017）13号《关</w:t>
      </w:r>
      <w:r>
        <w:rPr>
          <w:rFonts w:hint="default" w:ascii="仿宋_GB2312" w:eastAsia="仿宋_GB2312" w:cs="仿宋_GB2312"/>
          <w:spacing w:val="-4"/>
          <w:kern w:val="2"/>
          <w:sz w:val="32"/>
          <w:szCs w:val="32"/>
        </w:rPr>
        <w:t>于2017年秋季学期中开放必修课程基于网络考</w:t>
      </w:r>
      <w:r>
        <w:rPr>
          <w:rFonts w:hint="default" w:ascii="仿宋_GB2312" w:hAnsi="宋体" w:eastAsia="仿宋_GB2312" w:cs="仿宋_GB2312"/>
          <w:color w:val="000000"/>
          <w:spacing w:val="-4"/>
          <w:kern w:val="2"/>
          <w:sz w:val="32"/>
          <w:szCs w:val="32"/>
        </w:rPr>
        <w:t>核有关事宜的通知》。</w:t>
      </w:r>
    </w:p>
    <w:p>
      <w:pPr>
        <w:ind w:left="0" w:firstLine="640" w:firstLineChars="200"/>
        <w:rPr>
          <w:rFonts w:hint="default" w:ascii="楷体_GB2312" w:hAnsi="宋体" w:eastAsia="楷体_GB2312" w:cs="楷体_GB2312"/>
          <w:color w:val="000000"/>
          <w:kern w:val="2"/>
          <w:sz w:val="32"/>
          <w:szCs w:val="32"/>
        </w:rPr>
      </w:pPr>
      <w:r>
        <w:rPr>
          <w:rFonts w:hint="default" w:ascii="楷体_GB2312" w:hAnsi="宋体" w:eastAsia="楷体_GB2312" w:cs="楷体_GB2312"/>
          <w:color w:val="000000"/>
          <w:kern w:val="2"/>
          <w:sz w:val="32"/>
          <w:szCs w:val="32"/>
        </w:rPr>
        <w:t>（四）机考的硬件、软件要求见考试中心主页（http://</w:t>
      </w:r>
    </w:p>
    <w:p>
      <w:pPr>
        <w:rPr>
          <w:rFonts w:hint="default" w:ascii="楷体_GB2312" w:hAnsi="宋体" w:eastAsia="楷体_GB2312" w:cs="楷体_GB2312"/>
          <w:color w:val="000000"/>
          <w:kern w:val="2"/>
          <w:sz w:val="32"/>
          <w:szCs w:val="32"/>
        </w:rPr>
      </w:pPr>
      <w:r>
        <w:rPr>
          <w:rFonts w:hint="default" w:ascii="楷体_GB2312" w:hAnsi="宋体" w:eastAsia="楷体_GB2312" w:cs="楷体_GB2312"/>
          <w:color w:val="000000"/>
          <w:kern w:val="2"/>
          <w:sz w:val="32"/>
          <w:szCs w:val="32"/>
        </w:rPr>
        <w:t>kszx.scrtvu.net）</w:t>
      </w:r>
    </w:p>
    <w:p>
      <w:pPr>
        <w:ind w:left="0" w:firstLine="640" w:firstLineChars="200"/>
        <w:rPr>
          <w:rFonts w:hint="default" w:ascii="楷体_GB2312" w:eastAsia="楷体_GB2312" w:cs="楷体_GB2312"/>
          <w:color w:val="000000"/>
          <w:kern w:val="2"/>
          <w:sz w:val="32"/>
          <w:szCs w:val="32"/>
        </w:rPr>
      </w:pPr>
      <w:r>
        <w:rPr>
          <w:rFonts w:hint="default" w:ascii="楷体_GB2312" w:eastAsia="楷体_GB2312" w:cs="楷体_GB2312"/>
          <w:color w:val="000000"/>
          <w:kern w:val="2"/>
          <w:sz w:val="32"/>
          <w:szCs w:val="32"/>
        </w:rPr>
        <w:t>（五）有关课程的考试说明</w:t>
      </w:r>
    </w:p>
    <w:p>
      <w:pPr>
        <w:ind w:left="0" w:firstLine="640" w:firstLineChars="200"/>
        <w:rPr>
          <w:rFonts w:hint="default" w:ascii="仿宋_GB2312" w:eastAsia="仿宋_GB2312" w:cs="仿宋_GB2312"/>
          <w:spacing w:val="-6"/>
          <w:kern w:val="2"/>
          <w:sz w:val="32"/>
          <w:szCs w:val="32"/>
        </w:rPr>
      </w:pPr>
      <w:r>
        <w:rPr>
          <w:rFonts w:hint="default" w:ascii="仿宋_GB2312" w:eastAsia="仿宋_GB2312" w:cs="仿宋_GB2312"/>
          <w:color w:val="000000"/>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spacing w:val="-6"/>
          <w:kern w:val="2"/>
          <w:sz w:val="32"/>
          <w:szCs w:val="32"/>
        </w:rPr>
        <w:t>专科课程药理学（</w:t>
      </w:r>
      <w:r>
        <w:rPr>
          <w:rFonts w:hint="default" w:ascii="仿宋_GB2312" w:eastAsia="仿宋_GB2312" w:cs="仿宋_GB2312"/>
          <w:kern w:val="2"/>
          <w:sz w:val="32"/>
          <w:szCs w:val="32"/>
        </w:rPr>
        <w:t>试卷号</w:t>
      </w:r>
      <w:r>
        <w:rPr>
          <w:rFonts w:hint="default" w:ascii="仿宋_GB2312" w:eastAsia="仿宋_GB2312" w:cs="仿宋_GB2312"/>
          <w:spacing w:val="-6"/>
          <w:kern w:val="2"/>
          <w:sz w:val="32"/>
          <w:szCs w:val="32"/>
        </w:rPr>
        <w:t>2118、2837）适用于护理学专业</w:t>
      </w:r>
      <w:r>
        <w:rPr>
          <w:rFonts w:hint="default" w:ascii="仿宋_GB2312" w:eastAsia="仿宋_GB2312" w:cs="仿宋_GB2312"/>
          <w:color w:val="000000"/>
          <w:kern w:val="2"/>
          <w:sz w:val="32"/>
          <w:szCs w:val="32"/>
        </w:rPr>
        <w:t>；</w:t>
      </w:r>
      <w:r>
        <w:rPr>
          <w:rFonts w:hint="default" w:ascii="仿宋_GB2312" w:eastAsia="仿宋_GB2312" w:cs="仿宋_GB2312"/>
          <w:spacing w:val="-6"/>
          <w:kern w:val="2"/>
          <w:sz w:val="32"/>
          <w:szCs w:val="32"/>
        </w:rPr>
        <w:t>药理学（药）（</w:t>
      </w:r>
      <w:r>
        <w:rPr>
          <w:rFonts w:hint="default" w:ascii="仿宋_GB2312" w:eastAsia="仿宋_GB2312" w:cs="仿宋_GB2312"/>
          <w:kern w:val="2"/>
          <w:sz w:val="32"/>
          <w:szCs w:val="32"/>
        </w:rPr>
        <w:t>试卷号</w:t>
      </w:r>
      <w:r>
        <w:rPr>
          <w:rFonts w:hint="default" w:ascii="仿宋_GB2312" w:eastAsia="仿宋_GB2312" w:cs="仿宋_GB2312"/>
          <w:spacing w:val="-6"/>
          <w:kern w:val="2"/>
          <w:sz w:val="32"/>
          <w:szCs w:val="32"/>
        </w:rPr>
        <w:t>2233）适用于药学、药品经营与管理专业。</w:t>
      </w:r>
    </w:p>
    <w:p>
      <w:pPr>
        <w:ind w:left="0" w:firstLine="640" w:firstLineChars="200"/>
        <w:rPr>
          <w:rFonts w:hint="default" w:ascii="仿宋_GB2312" w:eastAsia="仿宋_GB2312" w:cs="仿宋_GB2312"/>
          <w:color w:val="000000"/>
          <w:kern w:val="2"/>
          <w:sz w:val="32"/>
          <w:szCs w:val="32"/>
        </w:rPr>
      </w:pPr>
      <w:r>
        <w:rPr>
          <w:rFonts w:hint="default" w:ascii="仿宋_GB2312" w:eastAsia="仿宋_GB2312" w:cs="仿宋_GB2312"/>
          <w:color w:val="000000"/>
          <w:kern w:val="2"/>
          <w:sz w:val="32"/>
          <w:szCs w:val="32"/>
        </w:rPr>
        <w:t>本科课程高级英语写作（试卷号1359）适用于2012年秋季学期及之后的英语（教育方向）专业；市场调查（试卷号1345）仅适用于市场营销专业。</w:t>
      </w:r>
    </w:p>
    <w:p>
      <w:pPr>
        <w:keepNext w:val="0"/>
        <w:keepLines w:val="0"/>
        <w:widowControl/>
        <w:suppressLineNumbers w:val="0"/>
        <w:spacing w:line="600" w:lineRule="exact"/>
        <w:ind w:left="0" w:firstLine="640" w:firstLineChars="200"/>
        <w:rPr>
          <w:rFonts w:hint="default" w:ascii="仿宋_GB2312" w:hAnsi="宋体" w:eastAsia="仿宋_GB2312" w:cs="仿宋_GB2312"/>
          <w:kern w:val="2"/>
          <w:sz w:val="32"/>
          <w:szCs w:val="32"/>
        </w:rPr>
      </w:pPr>
      <w:r>
        <w:rPr>
          <w:rFonts w:hint="default" w:ascii="仿宋_GB2312" w:eastAsia="仿宋_GB2312" w:cs="仿宋_GB2312"/>
          <w:color w:val="000000"/>
          <w:kern w:val="2"/>
          <w:sz w:val="32"/>
          <w:szCs w:val="32"/>
        </w:rPr>
        <w:t>2</w:t>
      </w:r>
      <w:r>
        <w:rPr>
          <w:rFonts w:hint="default" w:ascii="仿宋_GB2312" w:hAnsi="宋体" w:eastAsia="仿宋_GB2312" w:cs="仿宋_GB2312"/>
          <w:kern w:val="2"/>
          <w:sz w:val="32"/>
          <w:szCs w:val="32"/>
        </w:rPr>
        <w:t>．</w:t>
      </w:r>
      <w:r>
        <w:rPr>
          <w:rFonts w:hint="default" w:ascii="仿宋_GB2312" w:hAnsi="宋体" w:eastAsia="仿宋_GB2312" w:cs="仿宋_GB2312"/>
          <w:color w:val="000000"/>
          <w:kern w:val="2"/>
          <w:sz w:val="32"/>
          <w:szCs w:val="32"/>
        </w:rPr>
        <w:t>1356《高级英语听说（2）》课程考试</w:t>
      </w:r>
      <w:r>
        <w:rPr>
          <w:rFonts w:hint="default" w:ascii="仿宋_GB2312" w:hAnsi="宋体" w:eastAsia="仿宋_GB2312" w:cs="仿宋_GB2312"/>
          <w:kern w:val="2"/>
          <w:sz w:val="32"/>
          <w:szCs w:val="32"/>
        </w:rPr>
        <w:t>说明</w:t>
      </w:r>
    </w:p>
    <w:p>
      <w:pPr>
        <w:spacing w:line="600" w:lineRule="exact"/>
        <w:ind w:left="0" w:firstLine="640" w:firstLineChars="200"/>
        <w:rPr>
          <w:rFonts w:hint="default" w:ascii="仿宋_GB2312" w:eastAsia="仿宋_GB2312" w:cs="仿宋_GB2312"/>
          <w:color w:val="FF0000"/>
          <w:kern w:val="2"/>
          <w:sz w:val="32"/>
          <w:szCs w:val="32"/>
        </w:rPr>
      </w:pPr>
      <w:r>
        <w:rPr>
          <w:rFonts w:hint="default" w:ascii="仿宋_GB2312" w:hAnsi="宋体" w:eastAsia="仿宋_GB2312" w:cs="仿宋_GB2312"/>
          <w:kern w:val="2"/>
          <w:sz w:val="32"/>
          <w:szCs w:val="32"/>
        </w:rPr>
        <w:t>（1）</w:t>
      </w:r>
      <w:r>
        <w:rPr>
          <w:rFonts w:hint="default" w:ascii="仿宋_GB2312" w:hAnsi="宋体" w:eastAsia="仿宋_GB2312" w:cs="仿宋_GB2312"/>
          <w:color w:val="000000"/>
          <w:kern w:val="2"/>
          <w:sz w:val="32"/>
          <w:szCs w:val="32"/>
        </w:rPr>
        <w:t xml:space="preserve"> 1356《高级英语听说（2）》课程考试分为听力测试和口试，</w:t>
      </w:r>
      <w:r>
        <w:rPr>
          <w:rFonts w:hint="default" w:ascii="仿宋_GB2312" w:eastAsia="仿宋_GB2312" w:cs="仿宋_GB2312"/>
          <w:color w:val="000000"/>
          <w:kern w:val="2"/>
          <w:sz w:val="32"/>
          <w:szCs w:val="32"/>
        </w:rPr>
        <w:t>考试成绩占终结性考试成绩的50%。每位考生用时10分钟（含抽签后的准备时间）。</w:t>
      </w:r>
      <w:r>
        <w:rPr>
          <w:rFonts w:hint="default" w:ascii="仿宋_GB2312" w:eastAsia="仿宋_GB2312" w:cs="仿宋_GB2312"/>
          <w:kern w:val="2"/>
          <w:sz w:val="32"/>
          <w:szCs w:val="32"/>
        </w:rPr>
        <w:t>口试由国开统一命题，分校组织。考试在2018年1月11日至1月14日期间完成。具体考试要求及操作说明详见考试中心主页。</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（2）国家开放大学提供以上听力课程所用光盘，可在支持音频WAV格式文件的设备上播放。各考点要配备符合要求的放音设备。光盘由保定印刷厂直接发往各分校。</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（3）口试的方法：</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①两名监考教师中应有一名主管课程的英语教师。</w:t>
      </w:r>
    </w:p>
    <w:p>
      <w:pPr>
        <w:spacing w:line="600" w:lineRule="exact"/>
        <w:ind w:left="0" w:firstLine="640" w:firstLineChars="200"/>
        <w:rPr>
          <w:rFonts w:hint="default" w:ascii="仿宋_GB2312" w:eastAsia="仿宋_GB2312" w:cs="仿宋_GB2312"/>
          <w:color w:val="000000"/>
          <w:kern w:val="2"/>
          <w:sz w:val="32"/>
          <w:szCs w:val="32"/>
        </w:rPr>
      </w:pPr>
      <w:r>
        <w:rPr>
          <w:rFonts w:hint="default" w:ascii="仿宋_GB2312" w:hAnsi="宋体" w:eastAsia="仿宋_GB2312" w:cs="仿宋_GB2312"/>
          <w:kern w:val="2"/>
          <w:sz w:val="32"/>
          <w:szCs w:val="32"/>
        </w:rPr>
        <w:t>②凡要求现场评分的科目，请各考室按照考场编排的座位顺序号记录成绩，全部考试结束后将成绩单及题签装入题签袋内密封。</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color w:val="000000"/>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color w:val="000000"/>
          <w:kern w:val="2"/>
          <w:sz w:val="32"/>
          <w:szCs w:val="32"/>
        </w:rPr>
        <w:t>《邓小平理论和“三个代表”重要思想概论》、《邓小平理论概论》考2001号《中国特色社会主义理论体系概论》、《邓小平理论》（2702）使用试卷名称为《中国特色社会主义理论体系概论》。本期该课程的考核方式为国家开放大学命题，各考点在领取试卷后于2018年1月10日-2018年1月15日自行安排时间进行考试，答卷随期末纸考试卷一起送省校，由省校统一评阅。</w:t>
      </w:r>
      <w:r>
        <w:rPr>
          <w:rFonts w:hint="default" w:ascii="仿宋_GB2312" w:eastAsia="仿宋_GB2312" w:cs="仿宋_GB2312"/>
          <w:kern w:val="2"/>
          <w:sz w:val="32"/>
          <w:szCs w:val="32"/>
        </w:rPr>
        <w:t xml:space="preserve"> </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4．《计算机应用基础》课程：</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本科：免教育部全国网院计算机统考的本科学生，需参加国家开放大学组织的本科计算机应用基础课程考试，试卷号为1200。该门本科课程无形成性考核，终结性考试成绩为课程最终成绩。</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专科：新注册本课程学习的专科学生可参加一次课程水平测试，测试日期为10月13日-11月5日，试卷号为2885，成绩满70分即可免修该门课程。其他专科学生参加试卷号为2007的计算机应用基础课程考试。课程水平测试成绩合格的学生若继续参加课程学习及考核，其水平测试成绩失效。</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自本学期起，本、专科计算机应用基础课程考试一律采用Windows 7 / Office 2010平台，旧版平台不再使用。</w:t>
      </w:r>
    </w:p>
    <w:p>
      <w:pPr>
        <w:ind w:left="0" w:firstLine="640" w:firstLineChars="200"/>
        <w:rPr>
          <w:rFonts w:hint="default" w:ascii="仿宋_GB2312" w:eastAsia="仿宋_GB2312" w:cs="仿宋_GB2312"/>
          <w:kern w:val="2"/>
          <w:sz w:val="32"/>
          <w:szCs w:val="32"/>
        </w:rPr>
      </w:pPr>
      <w:r>
        <w:rPr>
          <w:rFonts w:hint="default" w:ascii="仿宋_GB2312" w:hAnsi="宋体" w:eastAsia="仿宋_GB2312" w:cs="仿宋_GB2312"/>
          <w:color w:val="000000"/>
          <w:kern w:val="2"/>
          <w:sz w:val="32"/>
          <w:szCs w:val="32"/>
        </w:rPr>
        <w:t>5．</w:t>
      </w:r>
      <w:r>
        <w:rPr>
          <w:rFonts w:hint="default" w:ascii="仿宋_GB2312" w:eastAsia="仿宋_GB2312" w:cs="仿宋_GB2312"/>
          <w:kern w:val="2"/>
          <w:sz w:val="32"/>
          <w:szCs w:val="32"/>
        </w:rPr>
        <w:t>信息技术应用课程只提供新版教材考试，试卷号为4947，课程考试系统的硬、软件配置要求同“计算机应用基础”（试卷号2007）（新版教材）课程。旧版平台（WindowsXP/office2003）（试卷号2703）不再使用。</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计算机应用基础（1200、2007），信息技术应用（4947）三门课程考试计划包单独发布，发布时间同基于网络考试计划数据包。课程技术支持由朔日科技有限公司提供。联系电话：010-51659798-8006、8007、8008，邮箱：</w:t>
      </w:r>
      <w:r>
        <w:fldChar w:fldCharType="begin"/>
      </w:r>
      <w:r>
        <w:instrText xml:space="preserve"> HYPERLINK "mailto:support@sower.com.cn" </w:instrText>
      </w:r>
      <w:r>
        <w:fldChar w:fldCharType="separate"/>
      </w:r>
      <w:r>
        <w:rPr>
          <w:rStyle w:val="17"/>
          <w:rFonts w:hint="default" w:ascii="仿宋_GB2312" w:eastAsia="仿宋_GB2312" w:cs="仿宋_GB2312"/>
          <w:kern w:val="2"/>
          <w:sz w:val="32"/>
          <w:szCs w:val="32"/>
        </w:rPr>
        <w:t>support@sower.com.cn</w:t>
      </w:r>
      <w:r>
        <w:fldChar w:fldCharType="end"/>
      </w:r>
      <w:r>
        <w:rPr>
          <w:rFonts w:hint="default" w:ascii="仿宋_GB2312" w:eastAsia="仿宋_GB2312" w:cs="仿宋_GB2312"/>
          <w:kern w:val="2"/>
          <w:sz w:val="32"/>
          <w:szCs w:val="32"/>
        </w:rPr>
        <w:t>。课程具体考试要求及操作说明见考试中心主页。</w:t>
      </w:r>
    </w:p>
    <w:p>
      <w:pPr>
        <w:spacing w:line="600" w:lineRule="exact"/>
        <w:ind w:left="0" w:firstLine="616" w:firstLineChars="200"/>
        <w:rPr>
          <w:rFonts w:hint="default" w:ascii="仿宋_GB2312" w:hAnsi="宋体" w:eastAsia="仿宋_GB2312" w:cs="仿宋_GB2312"/>
          <w:color w:val="000000"/>
          <w:kern w:val="2"/>
          <w:sz w:val="32"/>
          <w:szCs w:val="32"/>
        </w:rPr>
      </w:pPr>
      <w:r>
        <w:rPr>
          <w:rFonts w:hint="default" w:ascii="仿宋_GB2312" w:hAnsi="宋体" w:eastAsia="仿宋_GB2312" w:cs="仿宋_GB2312"/>
          <w:spacing w:val="-6"/>
          <w:kern w:val="2"/>
          <w:sz w:val="32"/>
          <w:szCs w:val="32"/>
        </w:rPr>
        <w:t>6</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计算机文化基础（试卷号2304）和计算机应用技术基础（试卷号2305）采用计算机闭卷考试，考试时间为90分钟。具体考试时间由各校根据实际情况在2017年12月15日至2018年1月14日期间安排。两门课程考试网址均是jsjks.szrtvu.com.cn。</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7．计算机绘图（试卷号1120）和土木工程CAD(试卷号1128)省校于2017年12月26日之前将试题在四川电大BBS上，各分校应及时下载，该课程考试应在2018年1月14日之前完成。具体要求如下：</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考试系统的硬件配置要求：CPU奔腾200MHz以上，内存64MB以上，硬盘150M以上剩余空间。</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考试系统的软件配置要求：操作系统Windows2000中文版或WindowsXP中文版；AutoCAD2004或AutoCAD2007或AutoCAD2010（中、英文版均可）。</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考场中的每台计算机须为每位考生设置考试专用文件夹；考生做完试题后，将自己作好的图形文件以*.dwg格式和“姓名-学号”为文件名保存到考试专用文件夹中；考试结束后，各考点以“考点名-卷号”建立考试文件夹（比如：绵竹-1128，绵竹-1120），将对应科目的所有考生文件及《考生签到单》一并保存到对应科目的文件夹中。各分校收集好所属考点的1120、1128答卷的文件夹后，汇总在一个文件夹中（比如“德阳”文件夹）。压缩该文件夹，上传四川电大BBS。</w:t>
      </w:r>
    </w:p>
    <w:p>
      <w:pPr>
        <w:spacing w:line="600" w:lineRule="exact"/>
        <w:ind w:left="0" w:firstLine="640" w:firstLineChars="200"/>
        <w:rPr>
          <w:rFonts w:hint="default" w:ascii="仿宋_GB2312" w:eastAsia="仿宋_GB2312" w:cs="仿宋_GB2312"/>
          <w:color w:val="000000"/>
          <w:kern w:val="2"/>
          <w:sz w:val="32"/>
          <w:szCs w:val="32"/>
        </w:rPr>
      </w:pPr>
      <w:r>
        <w:rPr>
          <w:rFonts w:hint="default" w:ascii="仿宋_GB2312" w:hAnsi="宋体" w:eastAsia="仿宋_GB2312" w:cs="仿宋_GB2312"/>
          <w:kern w:val="2"/>
          <w:sz w:val="32"/>
          <w:szCs w:val="32"/>
        </w:rPr>
        <w:t>8．</w:t>
      </w:r>
      <w:r>
        <w:rPr>
          <w:rFonts w:hint="default" w:ascii="仿宋_GB2312" w:eastAsia="仿宋_GB2312" w:cs="仿宋_GB2312"/>
          <w:color w:val="000000"/>
          <w:kern w:val="2"/>
          <w:sz w:val="32"/>
          <w:szCs w:val="32"/>
        </w:rPr>
        <w:t>由于部分课程已经停开或更名，以下课程考试使用以下表中所列对应课程的考试试卷：</w:t>
      </w:r>
    </w:p>
    <w:tbl>
      <w:tblPr>
        <w:tblStyle w:val="18"/>
        <w:tblW w:w="9336"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20"/>
        <w:gridCol w:w="2600"/>
        <w:gridCol w:w="3140"/>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b/>
                <w:color w:val="000000"/>
                <w:kern w:val="0"/>
                <w:sz w:val="24"/>
                <w:szCs w:val="24"/>
                <w:bdr w:val="none" w:color="auto" w:sz="0" w:space="0"/>
              </w:rPr>
            </w:pPr>
            <w:r>
              <w:rPr>
                <w:rFonts w:hint="default" w:ascii="仿宋_GB2312" w:hAnsi="宋体" w:eastAsia="仿宋_GB2312" w:cs="宋体"/>
                <w:b/>
                <w:color w:val="000000"/>
                <w:kern w:val="0"/>
                <w:sz w:val="24"/>
                <w:szCs w:val="24"/>
                <w:bdr w:val="none" w:color="auto" w:sz="0" w:space="0"/>
              </w:rPr>
              <w:t>序号</w:t>
            </w:r>
          </w:p>
        </w:tc>
        <w:tc>
          <w:tcPr>
            <w:tcW w:w="26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b/>
                <w:color w:val="000000"/>
                <w:kern w:val="0"/>
                <w:sz w:val="24"/>
                <w:szCs w:val="24"/>
                <w:bdr w:val="none" w:color="auto" w:sz="0" w:space="0"/>
              </w:rPr>
            </w:pPr>
            <w:r>
              <w:rPr>
                <w:rFonts w:hint="default" w:ascii="仿宋_GB2312" w:hAnsi="宋体" w:eastAsia="仿宋_GB2312" w:cs="宋体"/>
                <w:b/>
                <w:color w:val="000000"/>
                <w:kern w:val="0"/>
                <w:sz w:val="24"/>
                <w:szCs w:val="24"/>
                <w:bdr w:val="none" w:color="auto" w:sz="0" w:space="0"/>
              </w:rPr>
              <w:t>课程名称</w:t>
            </w:r>
          </w:p>
        </w:tc>
        <w:tc>
          <w:tcPr>
            <w:tcW w:w="31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b/>
                <w:color w:val="000000"/>
                <w:kern w:val="0"/>
                <w:sz w:val="24"/>
                <w:szCs w:val="24"/>
                <w:bdr w:val="none" w:color="auto" w:sz="0" w:space="0"/>
              </w:rPr>
            </w:pPr>
            <w:r>
              <w:rPr>
                <w:rFonts w:hint="default" w:ascii="仿宋_GB2312" w:hAnsi="宋体" w:eastAsia="仿宋_GB2312" w:cs="宋体"/>
                <w:b/>
                <w:color w:val="000000"/>
                <w:kern w:val="0"/>
                <w:sz w:val="24"/>
                <w:szCs w:val="24"/>
                <w:bdr w:val="none" w:color="auto" w:sz="0" w:space="0"/>
              </w:rPr>
              <w:t>使用试卷课程名称</w:t>
            </w:r>
          </w:p>
        </w:tc>
        <w:tc>
          <w:tcPr>
            <w:tcW w:w="27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b/>
                <w:color w:val="000000"/>
                <w:kern w:val="0"/>
                <w:sz w:val="24"/>
                <w:szCs w:val="24"/>
                <w:bdr w:val="none" w:color="auto" w:sz="0" w:space="0"/>
              </w:rPr>
            </w:pPr>
            <w:r>
              <w:rPr>
                <w:rFonts w:hint="default" w:ascii="仿宋_GB2312" w:hAnsi="宋体" w:eastAsia="仿宋_GB2312" w:cs="宋体"/>
                <w:b/>
                <w:color w:val="000000"/>
                <w:kern w:val="0"/>
                <w:sz w:val="24"/>
                <w:szCs w:val="24"/>
                <w:bdr w:val="none" w:color="auto" w:sz="0" w:space="0"/>
              </w:rPr>
              <w:t>试卷号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劳动法学</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劳动与社会保障法</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货币银行学</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金融学</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货币银行学</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金融学</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4</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 xml:space="preserve">英语Ⅱ(1) </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开放英语（3）</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5</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 xml:space="preserve">英语Ⅱ(2) </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开放英语（4）</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6</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C语言程序设计A</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C语言程序设计</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7</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混凝土结构设计</w:t>
            </w:r>
            <w:r>
              <w:rPr>
                <w:rFonts w:hint="default" w:ascii="仿宋_GB2312" w:hAnsi="Times New Roman" w:eastAsia="仿宋_GB2312" w:cs="仿宋_GB2312"/>
                <w:color w:val="000000"/>
                <w:kern w:val="0"/>
                <w:sz w:val="24"/>
                <w:szCs w:val="24"/>
                <w:bdr w:val="none" w:color="auto" w:sz="0" w:space="0"/>
              </w:rPr>
              <w:t>(A)</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房屋建筑混凝土结构设计</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8</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信息处理与档案管理</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信息与档案管理</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9</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组织行为学（教育）</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教育组织行为与管理案例</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10</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邓小平理论和“三个代表”重要思想概论</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中国特色社会主义理论体系概论</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11</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统计学原理（</w:t>
            </w:r>
            <w:r>
              <w:rPr>
                <w:rFonts w:hint="default" w:ascii="仿宋_GB2312" w:hAnsi="Times New Roman" w:eastAsia="仿宋_GB2312" w:cs="仿宋_GB2312"/>
                <w:color w:val="000000"/>
                <w:kern w:val="0"/>
                <w:sz w:val="24"/>
                <w:szCs w:val="24"/>
                <w:bdr w:val="none" w:color="auto" w:sz="0" w:space="0"/>
              </w:rPr>
              <w:t>A</w:t>
            </w:r>
            <w:r>
              <w:rPr>
                <w:rFonts w:hint="default" w:ascii="仿宋_GB2312" w:hAnsi="宋体" w:eastAsia="仿宋_GB2312" w:cs="宋体"/>
                <w:color w:val="000000"/>
                <w:kern w:val="0"/>
                <w:sz w:val="24"/>
                <w:szCs w:val="24"/>
                <w:bdr w:val="none" w:color="auto" w:sz="0" w:space="0"/>
              </w:rPr>
              <w:t>）</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统计学原理</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12</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银行会计</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金融企业会计</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13</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银行经营管理</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商业银行经营管理</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14</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Internet和Intranet应用</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互联网应用</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15</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人文社会科学基础</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人文社会科学基础（</w:t>
            </w:r>
            <w:r>
              <w:rPr>
                <w:rFonts w:hint="default" w:ascii="仿宋_GB2312" w:hAnsi="Times New Roman" w:eastAsia="仿宋_GB2312" w:cs="仿宋_GB2312"/>
                <w:color w:val="000000"/>
                <w:kern w:val="0"/>
                <w:sz w:val="24"/>
                <w:szCs w:val="24"/>
                <w:bdr w:val="none" w:color="auto" w:sz="0" w:space="0"/>
              </w:rPr>
              <w:t>A</w:t>
            </w:r>
            <w:r>
              <w:rPr>
                <w:rFonts w:hint="default" w:ascii="仿宋_GB2312" w:hAnsi="宋体" w:eastAsia="仿宋_GB2312" w:cs="宋体"/>
                <w:color w:val="000000"/>
                <w:kern w:val="0"/>
                <w:sz w:val="24"/>
                <w:szCs w:val="24"/>
                <w:bdr w:val="none" w:color="auto" w:sz="0" w:space="0"/>
              </w:rPr>
              <w:t>）</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16</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病理学</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病理学与病理生理学</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17</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病理学</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病理学与病理生理学</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18</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英语Ⅰ(1)</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开放英语（1）</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19</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英语Ⅰ(1)</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开放英语（1）</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20</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kern w:val="0"/>
                <w:sz w:val="24"/>
                <w:szCs w:val="24"/>
                <w:bdr w:val="none" w:color="auto" w:sz="0" w:space="0"/>
              </w:rPr>
            </w:pPr>
            <w:r>
              <w:rPr>
                <w:rFonts w:hint="default" w:ascii="仿宋_GB2312" w:hAnsi="宋体" w:eastAsia="仿宋_GB2312" w:cs="宋体"/>
                <w:kern w:val="0"/>
                <w:sz w:val="24"/>
                <w:szCs w:val="24"/>
                <w:bdr w:val="none" w:color="auto" w:sz="0" w:space="0"/>
              </w:rPr>
              <w:t>英语Ⅰ(2)</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开放英语（2）</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21</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kern w:val="0"/>
                <w:sz w:val="24"/>
                <w:szCs w:val="24"/>
                <w:bdr w:val="none" w:color="auto" w:sz="0" w:space="0"/>
              </w:rPr>
            </w:pPr>
            <w:r>
              <w:rPr>
                <w:rFonts w:hint="default" w:ascii="仿宋_GB2312" w:hAnsi="宋体" w:eastAsia="仿宋_GB2312" w:cs="宋体"/>
                <w:kern w:val="0"/>
                <w:sz w:val="24"/>
                <w:szCs w:val="24"/>
                <w:bdr w:val="none" w:color="auto" w:sz="0" w:space="0"/>
              </w:rPr>
              <w:t>英语Ⅰ(2)</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开放英语（2）</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22</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微积分初步</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微积分基础</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23</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网站美工设计基础</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网站界面</w:t>
            </w:r>
            <w:r>
              <w:rPr>
                <w:rFonts w:hint="default" w:ascii="仿宋_GB2312" w:hAnsi="Times New Roman" w:eastAsia="仿宋_GB2312" w:cs="仿宋_GB2312"/>
                <w:color w:val="000000"/>
                <w:kern w:val="0"/>
                <w:sz w:val="24"/>
                <w:szCs w:val="24"/>
                <w:bdr w:val="none" w:color="auto" w:sz="0" w:space="0"/>
              </w:rPr>
              <w:t>(UI)</w:t>
            </w:r>
            <w:r>
              <w:rPr>
                <w:rFonts w:hint="default" w:ascii="仿宋_GB2312" w:hAnsi="宋体" w:eastAsia="仿宋_GB2312" w:cs="宋体"/>
                <w:color w:val="000000"/>
                <w:kern w:val="0"/>
                <w:sz w:val="24"/>
                <w:szCs w:val="24"/>
                <w:bdr w:val="none" w:color="auto" w:sz="0" w:space="0"/>
              </w:rPr>
              <w:t>设计</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3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24</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邓小平理论</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中国特色社会主义理论体系概论</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25</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乡村社会学</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农村社会学</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26</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农产品储藏加工</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农产品贮藏加工</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27</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绿地设计</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绿地规划</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28</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 xml:space="preserve">煤矿职业卫生与健康 </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矿井粉尘防治</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29</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rPr>
                <w:rFonts w:hint="default" w:ascii="仿宋_GB2312" w:hAnsi="宋体" w:eastAsia="仿宋_GB2312" w:cs="宋体"/>
                <w:kern w:val="0"/>
                <w:sz w:val="24"/>
                <w:szCs w:val="24"/>
                <w:bdr w:val="none" w:color="auto" w:sz="0" w:space="0"/>
              </w:rPr>
            </w:pPr>
            <w:r>
              <w:rPr>
                <w:rFonts w:hint="default" w:ascii="仿宋_GB2312" w:hAnsi="宋体" w:eastAsia="仿宋_GB2312" w:cs="宋体"/>
                <w:kern w:val="0"/>
                <w:sz w:val="24"/>
                <w:szCs w:val="24"/>
                <w:bdr w:val="none" w:color="auto" w:sz="0" w:space="0"/>
              </w:rPr>
              <w:t>茶叶保健概论</w:t>
            </w:r>
          </w:p>
        </w:tc>
        <w:tc>
          <w:tcPr>
            <w:tcW w:w="3140" w:type="dxa"/>
            <w:tcBorders>
              <w:top w:val="nil"/>
              <w:left w:val="nil"/>
              <w:bottom w:val="nil"/>
              <w:right w:val="nil"/>
            </w:tcBorders>
            <w:shd w:val="clear"/>
            <w:vAlign w:val="center"/>
          </w:tcPr>
          <w:p>
            <w:pPr>
              <w:keepNext w:val="0"/>
              <w:keepLines w:val="0"/>
              <w:widowControl/>
              <w:suppressLineNumbers w:val="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茶健康学</w:t>
            </w:r>
          </w:p>
        </w:tc>
        <w:tc>
          <w:tcPr>
            <w:tcW w:w="2776"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30</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基本护理技能</w:t>
            </w:r>
          </w:p>
        </w:tc>
        <w:tc>
          <w:tcPr>
            <w:tcW w:w="31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老年护理基本技能</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31</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老年生理基础</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人体解剖生理基础</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32</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学校管理（1）</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学校管理</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33</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学校管理（2）</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学校管理</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34</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老年保健按摩</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老年人中医体质辨识与养生保健</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35</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数字广告设计与制作</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CI设计</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36</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教育政策与法规</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教育政策与法律</w:t>
            </w:r>
          </w:p>
        </w:tc>
        <w:tc>
          <w:tcPr>
            <w:tcW w:w="2776" w:type="dxa"/>
            <w:tcBorders>
              <w:top w:val="nil"/>
              <w:left w:val="nil"/>
              <w:bottom w:val="nil"/>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3822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37</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电子商务概论</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电子商务概论（农）</w:t>
            </w:r>
          </w:p>
        </w:tc>
        <w:tc>
          <w:tcPr>
            <w:tcW w:w="27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4990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336"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ind w:left="0" w:firstLine="480" w:firstLineChars="200"/>
              <w:jc w:val="left"/>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以下课程只是共用试卷，国家开放大学没有建立它们之间的课程替代关系，请在组织报考时注意分别报考。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38</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汽车底盘构造与维修（</w:t>
            </w:r>
            <w:r>
              <w:rPr>
                <w:rFonts w:hint="default" w:ascii="仿宋_GB2312" w:hAnsi="Times New Roman" w:eastAsia="仿宋_GB2312" w:cs="仿宋_GB2312"/>
                <w:color w:val="000000"/>
                <w:kern w:val="0"/>
                <w:sz w:val="24"/>
                <w:szCs w:val="24"/>
                <w:bdr w:val="none" w:color="auto" w:sz="0" w:space="0"/>
              </w:rPr>
              <w:t>A</w:t>
            </w:r>
            <w:r>
              <w:rPr>
                <w:rFonts w:hint="default" w:ascii="仿宋_GB2312" w:hAnsi="宋体" w:eastAsia="仿宋_GB2312" w:cs="宋体"/>
                <w:color w:val="000000"/>
                <w:kern w:val="0"/>
                <w:sz w:val="24"/>
                <w:szCs w:val="24"/>
                <w:bdr w:val="none" w:color="auto" w:sz="0" w:space="0"/>
              </w:rPr>
              <w:t>）</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汽车底盘构造与维修</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8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39</w:t>
            </w:r>
          </w:p>
        </w:tc>
        <w:tc>
          <w:tcPr>
            <w:tcW w:w="260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汽车发动机构造与维修（</w:t>
            </w:r>
            <w:r>
              <w:rPr>
                <w:rFonts w:hint="default" w:ascii="仿宋_GB2312" w:hAnsi="Times New Roman" w:eastAsia="仿宋_GB2312" w:cs="仿宋_GB2312"/>
                <w:color w:val="000000"/>
                <w:kern w:val="0"/>
                <w:sz w:val="24"/>
                <w:szCs w:val="24"/>
                <w:bdr w:val="none" w:color="auto" w:sz="0" w:space="0"/>
              </w:rPr>
              <w:t>A</w:t>
            </w:r>
            <w:r>
              <w:rPr>
                <w:rFonts w:hint="default" w:ascii="仿宋_GB2312" w:hAnsi="宋体" w:eastAsia="仿宋_GB2312" w:cs="宋体"/>
                <w:color w:val="000000"/>
                <w:kern w:val="0"/>
                <w:sz w:val="24"/>
                <w:szCs w:val="24"/>
                <w:bdr w:val="none" w:color="auto" w:sz="0" w:space="0"/>
              </w:rPr>
              <w:t>）</w:t>
            </w:r>
          </w:p>
        </w:tc>
        <w:tc>
          <w:tcPr>
            <w:tcW w:w="3140" w:type="dxa"/>
            <w:tcBorders>
              <w:top w:val="nil"/>
              <w:left w:val="nil"/>
              <w:bottom w:val="single" w:color="auto" w:sz="4" w:space="0"/>
              <w:right w:val="single" w:color="auto" w:sz="4" w:space="0"/>
            </w:tcBorders>
            <w:shd w:val="clear"/>
            <w:vAlign w:val="center"/>
          </w:tcPr>
          <w:p>
            <w:pPr>
              <w:keepNext w:val="0"/>
              <w:keepLines w:val="0"/>
              <w:widowControl/>
              <w:suppressLineNumbers w:val="0"/>
              <w:rPr>
                <w:rFonts w:hint="default" w:ascii="仿宋_GB2312" w:hAnsi="宋体" w:eastAsia="仿宋_GB2312" w:cs="宋体"/>
                <w:color w:val="000000"/>
                <w:kern w:val="0"/>
                <w:sz w:val="24"/>
                <w:szCs w:val="24"/>
                <w:bdr w:val="none" w:color="auto" w:sz="0" w:space="0"/>
              </w:rPr>
            </w:pPr>
            <w:r>
              <w:rPr>
                <w:rFonts w:hint="default" w:ascii="仿宋_GB2312" w:hAnsi="宋体" w:eastAsia="仿宋_GB2312" w:cs="宋体"/>
                <w:color w:val="000000"/>
                <w:kern w:val="0"/>
                <w:sz w:val="24"/>
                <w:szCs w:val="24"/>
                <w:bdr w:val="none" w:color="auto" w:sz="0" w:space="0"/>
              </w:rPr>
              <w:t>汽车发动机构造与维修</w:t>
            </w:r>
          </w:p>
        </w:tc>
        <w:tc>
          <w:tcPr>
            <w:tcW w:w="2776"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default" w:ascii="仿宋_GB2312" w:hAnsi="Times New Roman" w:eastAsia="仿宋_GB2312" w:cs="仿宋_GB2312"/>
                <w:color w:val="000000"/>
                <w:kern w:val="0"/>
                <w:sz w:val="24"/>
                <w:szCs w:val="24"/>
                <w:bdr w:val="none" w:color="auto" w:sz="0" w:space="0"/>
              </w:rPr>
            </w:pPr>
            <w:r>
              <w:rPr>
                <w:rFonts w:hint="default" w:ascii="仿宋_GB2312" w:hAnsi="Times New Roman" w:eastAsia="仿宋_GB2312" w:cs="仿宋_GB2312"/>
                <w:color w:val="000000"/>
                <w:kern w:val="0"/>
                <w:sz w:val="24"/>
                <w:szCs w:val="24"/>
                <w:bdr w:val="none" w:color="auto" w:sz="0" w:space="0"/>
              </w:rPr>
              <w:t>2422</w:t>
            </w:r>
          </w:p>
        </w:tc>
      </w:tr>
    </w:tbl>
    <w:p>
      <w:pPr>
        <w:pStyle w:val="8"/>
        <w:spacing w:before="0" w:beforeAutospacing="1" w:after="0" w:afterAutospacing="0"/>
        <w:ind w:left="0" w:righ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（六）考试时间安排为22：00-23：30的科目为考点自行安排考试时间课程。</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（七）凡下发了评分标准的考试科目均应现场给学生打分，并将成绩按签到表座位号顺序填在所附成绩登记表上装入试卷袋内随试卷上交省校。</w:t>
      </w:r>
    </w:p>
    <w:p>
      <w:pPr>
        <w:spacing w:line="600" w:lineRule="exact"/>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（八）本期考试压缩了考试时间，请尽量按开考学期进行选</w:t>
      </w:r>
      <w:r>
        <w:rPr>
          <w:rFonts w:hint="default" w:ascii="楷体_GB2312" w:hAnsi="宋体" w:eastAsia="楷体_GB2312" w:cs="楷体_GB2312"/>
          <w:spacing w:val="-6"/>
          <w:kern w:val="2"/>
          <w:sz w:val="32"/>
          <w:szCs w:val="32"/>
        </w:rPr>
        <w:t>课报考，否则会造成考试时间严重冲突，影响考试的组织管理和质量。</w:t>
      </w:r>
    </w:p>
    <w:p>
      <w:pPr>
        <w:spacing w:line="600" w:lineRule="exact"/>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 xml:space="preserve"> (九)本期抽考课程和抽考考点由国开大确定，请各校加强教学管理和教学环节的落实，提高教学质量。</w:t>
      </w:r>
    </w:p>
    <w:p>
      <w:pPr>
        <w:spacing w:line="600" w:lineRule="exact"/>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五、试卷征订</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期末正考试卷、光盘、题签订单由省校根据各校上报的报考数据自动生成。所有课程不得追加报考，如有特殊情况，必须经省校同意后方能让学生参考，否则学生考试成绩无效。</w:t>
      </w:r>
    </w:p>
    <w:p>
      <w:pPr>
        <w:spacing w:line="600" w:lineRule="exact"/>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六、关于形成性考核成绩</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0870—4999号试卷的形成性考核成绩占总成绩的比例省校将另行通知；省开课的形成性考核成绩占总成绩的比例均按20%执行。所有课程均不执行双及格。各校应于期末考试前及时、准确在教务管理系统中录入形考成绩，凡无形成性考核成绩者其合成成绩中形成性考核成绩按零分计算。</w:t>
      </w:r>
    </w:p>
    <w:p>
      <w:pPr>
        <w:spacing w:line="600" w:lineRule="exact"/>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七、关于集中性实践环节成绩的上报</w:t>
      </w:r>
    </w:p>
    <w:p>
      <w:pPr>
        <w:spacing w:line="60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教务管理系统按设考科目对应试卷号录入在线系统。实践环节、毕业论文成绩的录入时间都须按照川电大校教发（2012）6号文的要求按时上报省校。</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八、报考、组考及阅卷工作</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1．各校务必于2017年11月20日前将报考数据上报省校。</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2．凡参加期末考试的科目（无论是笔试、口试、无纸化考试还是各校自主考试上报成绩的科目）都必须报考，否则无综合成绩。</w:t>
      </w:r>
    </w:p>
    <w:p>
      <w:pPr>
        <w:pStyle w:val="9"/>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3．试卷领取和机要寄发时间</w:t>
      </w:r>
    </w:p>
    <w:p>
      <w:pPr>
        <w:pStyle w:val="9"/>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试卷机要寄发时间为2018年1月3日，自取时间为2018年1月5日（凡自取试卷者必须派2人以上，否则不发试卷）。</w:t>
      </w:r>
    </w:p>
    <w:p>
      <w:pPr>
        <w:pStyle w:val="9"/>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试卷的运输、保管工作必须严格执行川电大校教发（2005）68号文中试卷安全保密规定，各考点的试卷应分考试时间段加封条保管。各校派到考点的督考人员应随试卷同时到达考点，并按要求作为试卷保管员之一参与试卷的保管工作（督考人员自带锁具实施管理，有条件的应统一购买铁皮柜运装、保管试卷，待考试结束后将铁皮柜收回统一保管）。</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5．关于考点考室代码的填写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考点考室代码及首考号末5位无需手工填写，只需把签到表右上角的考点考室代码及首考号末5位沿线框剪下粘贴在第一份试卷的第1页左上角下2厘米处的密封线内。请认真做好巡、监考的培训工作，保证回收试卷的座位号、装订顺序、考点考室代码、首考号末五位准确无误，保证试卷袋与内装的试卷一致。</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6．阅卷工作</w:t>
      </w:r>
    </w:p>
    <w:p>
      <w:pPr>
        <w:pStyle w:val="9"/>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阅卷工作由省校统一安排进行。各校在考试结束后，各校应将回收试卷清单录入考务管理系统中，并核对无误后将打印出的回收单，并通过考务管理系统将数据上报省校以便准确核对回收试卷。请于考试结束后3日内将清理好的试卷送达省校阅卷场。另派１名作风正派，工作责任心强的教务干部于2018年1月21日上午9时到省校报到参加登分。</w:t>
      </w:r>
    </w:p>
    <w:p>
      <w:pPr>
        <w:pStyle w:val="9"/>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九、关于考试组织工作及严肃考试纪律的要求</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考试是检验教学质量与学生学业成绩的重要环节。把好考试检测关，确保考试的公正公平，考试成绩的真实可靠，培养合格人才，是学校工作的本质要求。考试各个环节的工作都十分重要，望各校务必高度重视，精心组织，严格程序、严格管理、严格保密。</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必须在经国开大审核批准的正式考点组织考试。严格按照有关要求布置考场，组织考试，特别是警戒线设置、值守和通讯工具的管理，同时认真落实监考人员的选聘和培训，以及对考生进行考前教育，学习考试纪律。</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加强督考和监考工作，落实《考试安全责任书》，与督考人员签订《四川广播电视大学考点督考人员责任书》（附件五）。考前各考点要组织监考人员学习《广播电视大学全国统一考试考试组织示范》（光盘），并务必在《四川广播电视大学考点督考人员责任书》书下予以回执；与监考和考试相关人员签订责任书，监考人员必须坚守职责，铁面无私，严格考风考纪，对违纪舞弊事件要坚决处理，绝不姑息。</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对主考、督考、监考人员不履行职责，对违纪事件不报的监考人员及试卷保管、考场设置等方面出问题的考场，都要按考务管理有关规定严肃处理。对泄密、考场秩序混乱等严重违反考试规定的情况，除追究有关人员责任外，将报请国开大批准撤销该考点。</w:t>
      </w:r>
    </w:p>
    <w:p>
      <w:pPr>
        <w:ind w:left="0" w:firstLine="643" w:firstLineChars="200"/>
        <w:rPr>
          <w:rFonts w:hint="default" w:ascii="仿宋_GB2312" w:hAnsi="宋体" w:eastAsia="仿宋_GB2312" w:cs="仿宋_GB2312"/>
          <w:kern w:val="2"/>
          <w:sz w:val="32"/>
          <w:szCs w:val="32"/>
        </w:rPr>
      </w:pPr>
      <w:r>
        <w:rPr>
          <w:rFonts w:hint="eastAsia" w:ascii="黑体" w:hAnsi="宋体" w:eastAsia="黑体" w:cs="黑体"/>
          <w:b/>
          <w:kern w:val="2"/>
          <w:sz w:val="32"/>
          <w:szCs w:val="32"/>
        </w:rPr>
        <w:t>十、开放教育考试费：</w:t>
      </w:r>
      <w:r>
        <w:rPr>
          <w:rFonts w:hint="default" w:ascii="仿宋_GB2312" w:hAnsi="宋体" w:eastAsia="仿宋_GB2312" w:cs="仿宋_GB2312"/>
          <w:kern w:val="2"/>
          <w:sz w:val="32"/>
          <w:szCs w:val="32"/>
        </w:rPr>
        <w:t>本科、专科为国开课程30元/每科次，省开课程20元/每科次。各校（含考点）留9元/每科次作组考费，其余上交省校。</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考试值班电话：028━87761785（教师值班）、87761953（考务科值班）</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 xml:space="preserve"> </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附件：1．2018-1正考开放教育本科设考科目</w:t>
      </w:r>
    </w:p>
    <w:p>
      <w:pPr>
        <w:ind w:left="0" w:firstLine="1600" w:firstLineChars="5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2．2018-1正考开放教育专科设考科目</w:t>
      </w:r>
    </w:p>
    <w:p>
      <w:pPr>
        <w:ind w:left="0" w:firstLine="1600" w:firstLineChars="5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3．2018-1正考开放教育本科考试时间安排</w:t>
      </w:r>
    </w:p>
    <w:p>
      <w:pPr>
        <w:ind w:left="0" w:firstLine="1600" w:firstLineChars="5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4．2018-1正考开放教育专科考试时间安排</w:t>
      </w:r>
    </w:p>
    <w:p>
      <w:pPr>
        <w:ind w:left="0" w:firstLine="1600" w:firstLineChars="500"/>
        <w:rPr>
          <w:rFonts w:hint="default" w:ascii="Times New Roman" w:eastAsia="仿宋_GB2312" w:cs="仿宋_GB2312"/>
          <w:kern w:val="2"/>
          <w:sz w:val="30"/>
          <w:szCs w:val="30"/>
        </w:rPr>
      </w:pPr>
      <w:r>
        <w:rPr>
          <w:rFonts w:hint="default" w:ascii="仿宋_GB2312" w:hAnsi="宋体" w:eastAsia="仿宋_GB2312" w:cs="仿宋_GB2312"/>
          <w:kern w:val="2"/>
          <w:sz w:val="32"/>
          <w:szCs w:val="32"/>
        </w:rPr>
        <w:t>5．四川广播电视大学考点督考人员责任书</w:t>
      </w:r>
    </w:p>
    <w:p>
      <w:pPr>
        <w:spacing w:line="580" w:lineRule="exact"/>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drawing>
          <wp:inline distT="0" distB="0" distL="114300" distR="114300">
            <wp:extent cx="2971800" cy="2200275"/>
            <wp:effectExtent l="0" t="0" r="0" b="635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link="rId6"/>
                    <a:stretch>
                      <a:fillRect/>
                    </a:stretch>
                  </pic:blipFill>
                  <pic:spPr>
                    <a:xfrm>
                      <a:off x="0" y="0"/>
                      <a:ext cx="2971800" cy="2200275"/>
                    </a:xfrm>
                    <a:prstGeom prst="rect">
                      <a:avLst/>
                    </a:prstGeom>
                    <a:noFill/>
                    <a:ln w="9525">
                      <a:noFill/>
                    </a:ln>
                  </pic:spPr>
                </pic:pic>
              </a:graphicData>
            </a:graphic>
          </wp:inline>
        </w:drawing>
      </w: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4200" w:leftChars="20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ind w:left="3150" w:leftChars="1500"/>
        <w:jc w:val="center"/>
        <w:rPr>
          <w:rFonts w:hint="default" w:ascii="仿宋_GB2312" w:eastAsia="仿宋_GB2312" w:cs="仿宋_GB2312"/>
          <w:kern w:val="2"/>
          <w:sz w:val="32"/>
          <w:szCs w:val="32"/>
        </w:rPr>
      </w:pPr>
      <w:r>
        <w:rPr>
          <w:rFonts w:hint="eastAsia" w:ascii="宋体" w:hAnsi="宋体" w:eastAsia="宋体" w:cs="宋体"/>
          <w:kern w:val="2"/>
          <w:sz w:val="24"/>
          <w:szCs w:val="24"/>
        </w:rPr>
        <w:t xml:space="preserve">                                                    </w:t>
      </w:r>
      <w:r>
        <w:rPr>
          <w:rFonts w:hint="default" w:ascii="仿宋_GB2312" w:eastAsia="仿宋_GB2312" w:cs="仿宋_GB2312"/>
          <w:kern w:val="2"/>
          <w:sz w:val="32"/>
          <w:szCs w:val="32"/>
        </w:rPr>
        <w:t>四川广播电视大学</w:t>
      </w:r>
    </w:p>
    <w:p>
      <w:pPr>
        <w:ind w:left="3150" w:leftChars="1500"/>
        <w:jc w:val="center"/>
        <w:rPr>
          <w:rFonts w:hint="default" w:ascii="仿宋_GB2312" w:hAnsi="宋体" w:eastAsia="仿宋_GB2312" w:cs="宋体"/>
          <w:kern w:val="0"/>
          <w:sz w:val="32"/>
          <w:szCs w:val="32"/>
        </w:rPr>
      </w:pPr>
      <w:r>
        <w:rPr>
          <w:rFonts w:hint="default" w:ascii="仿宋_GB2312" w:eastAsia="仿宋_GB2312" w:cs="仿宋_GB2312"/>
          <w:kern w:val="2"/>
          <w:sz w:val="32"/>
          <w:szCs w:val="32"/>
        </w:rPr>
        <w:t>2017年11月1日</w:t>
      </w:r>
    </w:p>
    <w:p>
      <w:pPr>
        <w:ind w:left="3150" w:leftChars="1500"/>
        <w:jc w:val="cente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ind w:left="3780" w:leftChars="1800"/>
        <w:jc w:val="cente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pStyle w:val="10"/>
        <w:spacing w:line="500" w:lineRule="exact"/>
        <w:ind w:left="0" w:firstLine="5280" w:firstLineChars="2200"/>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pPr>
      <w:r>
        <w:rPr>
          <w:rFonts w:hint="default" w:ascii="仿宋_GB2312" w:eastAsia="仿宋_GB2312" w:cs="仿宋_GB2312"/>
          <w:kern w:val="2"/>
          <w:sz w:val="32"/>
          <w:szCs w:val="32"/>
        </w:rPr>
        <w:t>附件未编辑在正文中，请在ＯＡ上自行下载。</w:t>
      </w:r>
    </w:p>
    <w:p>
      <w:pPr>
        <w:rPr>
          <w:rFonts w:hint="default" w:ascii="仿宋_GB2312" w:eastAsia="仿宋_GB2312" w:cs="仿宋_GB2312"/>
          <w:kern w:val="2"/>
          <w:sz w:val="32"/>
          <w:szCs w:val="32"/>
        </w:rPr>
        <w:sectPr>
          <w:pgSz w:w="11906" w:h="16838"/>
          <w:pgMar w:top="1361" w:right="1361" w:bottom="1304" w:left="1418" w:header="851" w:footer="992" w:gutter="0"/>
          <w:cols w:space="0" w:num="1"/>
          <w:docGrid w:type="lines" w:linePitch="312" w:charSpace="0"/>
        </w:sectPr>
      </w:pPr>
    </w:p>
    <w:p>
      <w:pPr>
        <w:ind w:left="0" w:firstLine="640" w:firstLineChars="200"/>
        <w:rPr>
          <w:rFonts w:hint="default" w:ascii="仿宋_GB2312" w:eastAsia="仿宋_GB2312" w:cs="仿宋_GB2312"/>
          <w:kern w:val="2"/>
          <w:sz w:val="32"/>
          <w:szCs w:val="32"/>
        </w:rPr>
      </w:pP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ind w:left="0" w:firstLine="640" w:firstLineChars="200"/>
        <w:rPr>
          <w:rFonts w:hint="default" w:ascii="仿宋_GB2312" w:eastAsia="仿宋_GB2312" w:cs="仿宋_GB2312"/>
          <w:kern w:val="2"/>
          <w:sz w:val="32"/>
          <w:szCs w:val="32"/>
          <w:u w:val="single"/>
        </w:rPr>
      </w:pPr>
      <w:r>
        <w:rPr>
          <w:rFonts w:hint="default" w:ascii="仿宋_GB2312" w:eastAsia="仿宋_GB2312" w:cs="仿宋_GB2312"/>
          <w:kern w:val="2"/>
          <w:sz w:val="32"/>
          <w:szCs w:val="32"/>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rPr>
          <w:rFonts w:hint="default" w:ascii="Calibri" w:hAnsi="Calibri" w:cs="Calibri"/>
          <w:kern w:val="2"/>
          <w:sz w:val="21"/>
          <w:szCs w:val="21"/>
        </w:rPr>
      </w:pPr>
      <w:r>
        <w:rPr>
          <w:rFonts w:hint="default" w:ascii="Calibri" w:hAnsi="Calibri" w:cs="Calibri"/>
          <w:kern w:val="2"/>
          <w:sz w:val="21"/>
          <w:szCs w:val="21"/>
        </w:rPr>
        <w:t xml:space="preserve"> </w:t>
      </w:r>
    </w:p>
    <w:p>
      <w:pP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rPr>
      </w:pPr>
      <w:r>
        <w:rPr>
          <w:rFonts w:hint="default" w:ascii="仿宋_GB2312" w:eastAsia="仿宋_GB2312" w:cs="仿宋_GB2312"/>
          <w:kern w:val="2"/>
          <w:sz w:val="28"/>
          <w:szCs w:val="28"/>
          <w:u w:val="single"/>
        </w:rPr>
        <w:t xml:space="preserve">                                                                      </w:t>
      </w:r>
      <w:r>
        <w:rPr>
          <w:rFonts w:hint="default" w:ascii="仿宋_GB2312" w:eastAsia="仿宋_GB2312" w:cs="仿宋_GB2312"/>
          <w:kern w:val="2"/>
          <w:sz w:val="28"/>
          <w:szCs w:val="28"/>
        </w:rPr>
        <w:t xml:space="preserve">                                                                  </w:t>
      </w:r>
    </w:p>
    <w:p>
      <w:pPr>
        <w:spacing w:line="400" w:lineRule="exact"/>
        <w:ind w:left="0" w:firstLine="280" w:firstLineChars="100"/>
        <w:rPr>
          <w:rFonts w:hint="default" w:ascii="仿宋_GB2312" w:eastAsia="仿宋_GB2312" w:cs="仿宋_GB2312"/>
          <w:kern w:val="2"/>
          <w:sz w:val="28"/>
          <w:szCs w:val="28"/>
        </w:rPr>
      </w:pPr>
      <w:r>
        <w:rPr>
          <w:rFonts w:hint="default" w:ascii="仿宋_GB2312" w:eastAsia="仿宋_GB2312" w:cs="仿宋_GB2312"/>
          <w:kern w:val="2"/>
          <w:sz w:val="28"/>
          <w:szCs w:val="28"/>
        </w:rPr>
        <w:t xml:space="preserve">四川电大办公室            公开         2017年11月1日印发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400" w:lineRule="exact"/>
        <w:ind w:right="160"/>
        <w:jc w:val="right"/>
        <w:rPr>
          <w:rFonts w:hint="default" w:ascii="仿宋_GB2312" w:eastAsia="仿宋_GB2312" w:cs="仿宋_GB2312"/>
          <w:kern w:val="2"/>
          <w:sz w:val="28"/>
          <w:szCs w:val="28"/>
        </w:rPr>
      </w:pPr>
      <w:r>
        <w:rPr>
          <w:rFonts w:hint="default" w:ascii="仿宋_GB2312" w:eastAsia="仿宋_GB2312" w:cs="仿宋_GB2312"/>
          <w:kern w:val="2"/>
          <w:sz w:val="28"/>
          <w:szCs w:val="28"/>
        </w:rPr>
        <w:t>（共印3份）</w:t>
      </w:r>
    </w:p>
    <w:sectPr>
      <w:pgSz w:w="11906" w:h="16838"/>
      <w:pgMar w:top="1361" w:right="1361" w:bottom="1304"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腾祥嘉丽细黑简">
    <w:panose1 w:val="01010104010101010101"/>
    <w:charset w:val="86"/>
    <w:family w:val="auto"/>
    <w:pitch w:val="default"/>
    <w:sig w:usb0="800002BF" w:usb1="18CF6CFA" w:usb2="00000012" w:usb3="00000000" w:csb0="00040001" w:csb1="00000000"/>
  </w:font>
  <w:font w:name="锐字云字库舒体1.0">
    <w:panose1 w:val="02010604000000000000"/>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Arial Unicode MS">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S P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隶书">
    <w:panose1 w:val="02010509060101010101"/>
    <w:charset w:val="86"/>
    <w:family w:val="swiss"/>
    <w:pitch w:val="default"/>
    <w:sig w:usb0="00000001" w:usb1="080E0000" w:usb2="0000000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宋体+FPEF">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锐字云字库行楷体1.0">
    <w:panose1 w:val="02010604000000000000"/>
    <w:charset w:val="86"/>
    <w:family w:val="auto"/>
    <w:pitch w:val="default"/>
    <w:sig w:usb0="00000003" w:usb1="080E0000" w:usb2="00000000" w:usb3="00000000" w:csb0="00040001" w:csb1="00000000"/>
  </w:font>
  <w:font w:name="锐字云字库锐黑粗体1.0">
    <w:panose1 w:val="02010604000000000000"/>
    <w:charset w:val="86"/>
    <w:family w:val="auto"/>
    <w:pitch w:val="default"/>
    <w:sig w:usb0="00000003" w:usb1="080E0000" w:usb2="00000000" w:usb3="00000000" w:csb0="00040001" w:csb1="00000000"/>
  </w:font>
  <w:font w:name="Senty Cream Puff 新蒂泡芙体">
    <w:panose1 w:val="03000600000000000000"/>
    <w:charset w:val="86"/>
    <w:family w:val="auto"/>
    <w:pitch w:val="default"/>
    <w:sig w:usb0="80000027" w:usb1="0807086A" w:usb2="00000010" w:usb3="00000000" w:csb0="00140001"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VerticalSpacing w:val="157"/>
  <w:displayHorizontalDrawingGridEvery w:val="0"/>
  <w:displayVerticalDrawingGridEvery w:val="2"/>
  <w:characterSpacingControl w:val="compressPunctuation"/>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06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keepNext w:val="0"/>
      <w:keepLines w:val="0"/>
      <w:widowControl w:val="0"/>
      <w:suppressLineNumbers w:val="0"/>
      <w:spacing w:before="0" w:beforeAutospacing="0" w:after="0" w:afterAutospacing="0"/>
      <w:ind w:left="0" w:right="0"/>
      <w:jc w:val="both"/>
    </w:pPr>
    <w:rPr>
      <w:rFonts w:hint="default" w:ascii="Calibri" w:hAnsi="Calibri" w:cs="Calibri" w:eastAsiaTheme="minorEastAsia"/>
      <w:kern w:val="2"/>
      <w:sz w:val="21"/>
      <w:szCs w:val="21"/>
      <w:lang w:val="en-US" w:eastAsia="zh-CN" w:bidi="ar"/>
    </w:rPr>
  </w:style>
  <w:style w:type="paragraph" w:styleId="2">
    <w:name w:val="heading 1"/>
    <w:basedOn w:val="1"/>
    <w:next w:val="1"/>
    <w:qFormat/>
    <w:locked/>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locked/>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locked/>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locked/>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qFormat/>
    <w:locked/>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qFormat/>
    <w:locked/>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6">
    <w:name w:val="Default Paragraph Font"/>
    <w:unhideWhenUsed/>
    <w:uiPriority w:val="99"/>
  </w:style>
  <w:style w:type="table" w:default="1" w:styleId="1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Body Text"/>
    <w:basedOn w:val="1"/>
    <w:uiPriority w:val="0"/>
    <w:pPr>
      <w:keepNext w:val="0"/>
      <w:keepLines w:val="0"/>
      <w:widowControl w:val="0"/>
      <w:suppressLineNumbers w:val="0"/>
      <w:spacing w:after="120" w:afterAutospacing="0"/>
      <w:jc w:val="both"/>
    </w:pPr>
    <w:rPr>
      <w:rFonts w:hint="default" w:ascii="Times New Roman" w:hAnsi="Times New Roman" w:cs="Times New Roman"/>
      <w:kern w:val="2"/>
      <w:sz w:val="21"/>
      <w:szCs w:val="21"/>
      <w:lang w:val="en-US" w:eastAsia="zh-CN" w:bidi="ar"/>
    </w:rPr>
  </w:style>
  <w:style w:type="paragraph" w:styleId="9">
    <w:name w:val="Body Text Indent"/>
    <w:basedOn w:val="1"/>
    <w:uiPriority w:val="0"/>
    <w:pPr>
      <w:keepNext w:val="0"/>
      <w:keepLines w:val="0"/>
      <w:widowControl w:val="0"/>
      <w:suppressLineNumbers w:val="0"/>
      <w:spacing w:before="0" w:beforeAutospacing="0" w:after="0" w:afterAutospacing="0"/>
      <w:ind w:left="0" w:right="0" w:firstLine="600"/>
      <w:jc w:val="both"/>
    </w:pPr>
    <w:rPr>
      <w:rFonts w:hint="eastAsia" w:ascii="宋体" w:hAnsi="Times New Roman" w:eastAsia="宋体" w:cs="宋体"/>
      <w:kern w:val="2"/>
      <w:sz w:val="30"/>
      <w:szCs w:val="30"/>
      <w:lang w:val="en-US" w:eastAsia="zh-CN" w:bidi="ar"/>
    </w:rPr>
  </w:style>
  <w:style w:type="paragraph" w:styleId="10">
    <w:name w:val="Date"/>
    <w:basedOn w:val="1"/>
    <w:next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28"/>
      <w:szCs w:val="28"/>
      <w:lang w:val="en-US" w:eastAsia="zh-CN" w:bidi="ar"/>
    </w:rPr>
  </w:style>
  <w:style w:type="paragraph" w:styleId="11">
    <w:name w:val="Balloon Text"/>
    <w:basedOn w:val="1"/>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18"/>
      <w:szCs w:val="18"/>
      <w:lang w:val="en-US" w:eastAsia="zh-CN" w:bidi="ar"/>
    </w:rPr>
  </w:style>
  <w:style w:type="paragraph" w:styleId="12">
    <w:name w:val="footer"/>
    <w:basedOn w:val="1"/>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cs="Calibri"/>
      <w:kern w:val="2"/>
      <w:sz w:val="18"/>
      <w:szCs w:val="18"/>
      <w:lang w:val="en-US" w:eastAsia="zh-CN" w:bidi="ar"/>
    </w:rPr>
  </w:style>
  <w:style w:type="paragraph" w:styleId="13">
    <w:name w:val="header"/>
    <w:basedOn w:val="1"/>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17">
    <w:name w:val="Hyperlink"/>
    <w:basedOn w:val="16"/>
    <w:uiPriority w:val="0"/>
    <w:rPr>
      <w:color w:val="0000FF"/>
      <w:u w:val="single"/>
    </w:rPr>
  </w:style>
  <w:style w:type="table" w:styleId="19">
    <w:name w:val="Table Grid"/>
    <w:basedOn w:val="18"/>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0">
    <w:name w:val="15"/>
    <w:basedOn w:val="16"/>
    <w:uiPriority w:val="0"/>
    <w:rPr>
      <w:rFonts w:hint="default" w:ascii="Calibri" w:hAnsi="Calibri" w:cs="Calibri"/>
    </w:rPr>
  </w:style>
  <w:style w:type="character" w:customStyle="1" w:styleId="21">
    <w:name w:val="10"/>
    <w:basedOn w:val="16"/>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file:///C:\Users\lenovo\Desktop\&#20020;&#26102;\&#22235;&#24029;&#24191;&#25773;&#30005;&#35270;&#22823;&#23398;&#20851;&#20110;2017&#24180;&#31179;&#23395;&#23398;&#26399;&#24320;&#25918;&#25945;&#32946;&#26399;&#26411;&#32771;&#35797;&#23433;&#25490;&#30340;&#36890;&#30693;.files/&#22235;&#24029;&#24191;&#25773;&#30005;&#35270;&#22823;&#23398;&#20851;&#20110;2017&#24180;&#31179;&#23395;&#23398;&#26399;&#24320;&#25918;&#25945;&#32946;&#26399;&#26411;&#32771;&#35797;&#23433;&#25490;&#30340;&#36890;&#30693;7339.png" TargetMode="External"/><Relationship Id="rId5" Type="http://schemas.openxmlformats.org/officeDocument/2006/relationships/image" Target="file:///C:\Users\lenovo\Desktop\&#20020;&#26102;\&#22235;&#24029;&#24191;&#25773;&#30005;&#35270;&#22823;&#23398;&#20851;&#20110;2017&#24180;&#31179;&#23395;&#23398;&#26399;&#24320;&#25918;&#25945;&#32946;&#26399;&#26411;&#32771;&#35797;&#23433;&#25490;&#30340;&#36890;&#30693;.files/&#22235;&#24029;&#24191;&#25773;&#30005;&#35270;&#22823;&#23398;&#20851;&#20110;2017&#24180;&#31179;&#23395;&#23398;&#26399;&#24320;&#25918;&#25945;&#32946;&#26399;&#26411;&#32771;&#35797;&#23433;&#25490;&#30340;&#36890;&#30693;25.png" TargetMode="External"/><Relationship Id="rId4" Type="http://schemas.openxmlformats.org/officeDocument/2006/relationships/image" Target="file:///C:\Users\lenovo\Desktop\&#20020;&#26102;\&#22235;&#24029;&#24191;&#25773;&#30005;&#35270;&#22823;&#23398;&#20851;&#20110;2017&#24180;&#31179;&#23395;&#23398;&#26399;&#24320;&#25918;&#25945;&#32946;&#26399;&#26411;&#32771;&#35797;&#23433;&#25490;&#30340;&#36890;&#30693;.files/&#22235;&#24029;&#24191;&#25773;&#30005;&#35270;&#22823;&#23398;&#20851;&#20110;2017&#24180;&#31179;&#23395;&#23398;&#26399;&#24320;&#25918;&#25945;&#32946;&#26399;&#26411;&#32771;&#35797;&#23433;&#25490;&#30340;&#36890;&#30693;6.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2017-11-23T01:24:26Z</dcterms:created>
  <dc:creator>lenovo</dc:creator>
  <cp:lastModifiedBy>卷妈</cp:lastModifiedBy>
  <dcterms:modified xsi:type="dcterms:W3CDTF">2017-11-23T01:27:15Z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